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2026/108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24.07.2026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SL 47-26O Schülerbeförderung im freigestellten Schülerverkehr und in der Sonderbeförderung für die Schuljahr 2026/2027 bis 2029/2030 mit der Option der Verlängerung um ein Schuljahr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Beförderung von Schülern im freigestellten Schülerverkehr und in der Sonderbeförderung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